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286</w:t>
      </w:r>
    </w:p>
    <w:p>
      <w:r>
        <w:t>Bundesgericht (BGE), 1983-04-28, DE</w:t>
      </w:r>
    </w:p>
    <w:p>
      <w:r>
        <w:rPr>
          <w:b/>
        </w:rPr>
        <w:t xml:space="preserve">Quelle: </w:t>
      </w:r>
      <w:r>
        <w:t>https://mcp.opencaselaw.ch/entscheid/bge_109 II 286</w:t>
      </w:r>
    </w:p>
    <w:p>
      <w:r>
        <w:t>FR: ATF 109 II 286</w:t>
      </w:r>
    </w:p>
    <w:p>
      <w:r>
        <w:t>IT: DTF 109 II 286</w:t>
      </w:r>
    </w:p>
    <w:p>
      <w:pPr>
        <w:pStyle w:val="Heading2"/>
      </w:pPr>
      <w:r>
        <w:t>Regeste</w:t>
      </w:r>
    </w:p>
    <w:p>
      <w:r>
        <w:t>Regeste Art. 151 Abs. 1 ZGB; Dauer der Rente. Eine gestützt auf Art. 151 Abs. 1 ZGB zugesprochene Rente kann auch dann zeitlich beschränkt werden, wenn aus der Ehe Kinder hervorgegangen sind und die Lebensverhältnisse der geschiedenen Frau sich dadurch dauernd verändert haben. Die Rente ist aber mindestens für so lange zu gewähren, als die der Mutter zugeteilten Kinder eine umfassende Fürsorge und Pflege benötigen, was bis zum 16. Altersjahr des jüngsten Kindes zutreffen dürfte, sowie für die mutmassliche Dauer der beruflichen Wiedereingliederung der geschiedenen Frau. Die Praxis, den Rentenanspruch gemäss Art. 151 Abs. 1 ZGB in der Regel auf die halbe Ehedauer zu beschränken, ist bundesrechtswidrig.</w:t>
      </w:r>
    </w:p>
    <w:p>
      <w:pPr>
        <w:pStyle w:val="Heading2"/>
      </w:pPr>
      <w:r>
        <w:t>Erwägungen</w:t>
      </w:r>
    </w:p>
    <w:p>
      <w:r>
        <w:rPr>
          <w:b/>
        </w:rPr>
        <w:t>E. 5</w:t>
      </w:r>
    </w:p>
    <w:p>
      <w:r>
        <w:t>a) Die Vorinstanz hat der Beklagten gestützt auf Art. 151 Abs. 1 ZGB eine Unterhaltsersatz- und Entschädigungsrente von Fr. 300.--, begrenzt auf sechs Jahre, zuerkannt. In seiner Anschlussberufung bestreitet der Kläger einen solchen Anspruch. Er möchte seiner Ehefrau lediglich eine Bedürftigkeitsrente von Fr. 200.--, ebenfalls begrenzt auf die Dauer von sechs Jahren, zugestehen. Dieser Auffassung kann nicht gefolgt werden. Wie der Appellationshof zutreffend festgehalten hat, ist das Verschulden der ansprechenden Ehefrau, falls überhaupt von einem solchen gesprochen werden kann, angesichts der gesamten Umstände des vorliegenden Falles als leicht zu bewerten, das für die Zerrüttung zudem nur eine untergeordnete Rolle gespielt hat. Das wird vom Kläger nicht ernsthaft bestritten. Auf der andern Seite aber muss das Verschulden des Klägers selbst als durchaus gewichtig betrachtet werden, wie dies in Erwägung 3 dargelegt wurde. Dass BGE 109 II 286 S. 289 daneben erhebliche objektive Faktoren mit zur Ehezerrüttung beigetragen haben, vermag den Kläger unter dem Gesichtspunkt des Art. 151 ZGB nicht zu entlasten. b) Der Appellationshof hat daher zu Recht einen Unterhaltsersatz- und Entschädigungsanspruch der Beklagten gestützt auf Art. 151 Abs. 1 ZGB bejaht. Fraglich ist demnach nur, ob eine entsprechende Rente unter den hier gegebenen Verhältnissen auf Dauer hätte zugesprochen werden müssen, wie es die Beklagte verlangt. Sie verweist zur Begründung ihres Anspruchs auf die bisherige bundesgerichtliche Rechtsprechung, wonach immer dann, wenn Kinder aus der Ehe hervorgegangen und der Mutter zugeteilt worden sind, eine zeitliche Begrenzung der Rente grundsätzlich auszuschliessen war ( BGE 98 II 166 und BGE 97 II 10 E. 4). In einem neuen Entscheid hat das Bundesgericht indessen an dieser Praxis nicht mehr festgehalten ( BGE 109 II 185 E. 5). Es hat darauf hingewiesen, dass die bisherige Betrachtungsweise der wirklichen Lage nicht immer gerecht werde; denn es könne nicht gesagt werden, dass jede Frau, die Kinder geboren und auferzogen hat und deren Lebensbedingungen sich dadurch zugegebenermassen grundlegend und dauernd verändert haben, infolge der Scheidung auch stets einen dauernden finanziellen Schaden erleide. Vielmehr sei in jedem konkreten Fall abzuklären, ob eine geschiedene Frau trotz Kinderbetreuung sich auf längere Sicht eine wirtschaftliche Situation werde schaffen können, in der sie nicht schlechter gestellt sein werde, als wenn sie die Ehe nicht eingegangen wäre. Treffe dies zu, rechtfertige sich eine lebenslange Bindung finanzieller Art an den früheren Ehegatten im Sinne einer Dauerrente nicht. Gemäss dieser neuen Rechtsprechung sind bei der Abklärung der Dauer der Leistungspflicht folgende Faktoren zu berücksichtigen: die Dauer der Ehe, die Schwere des Verschuldens des pflichtigen Ehegatten, das Alter und der Gesundheitszustand des anspruchsberechtigten Gatten, seine Ausbildung, seine finanzielle Situation und die allgemeine Wirtschaftslage sowie die dem Gatten wieder offenstehende Möglichkeit, ganz oder teilweise einer Erwerbsarbeit nachzugehen. Eine Rente ist aber mindestens für so lange zuzusprechen, als die der Ehefrau zugeteilten Kinder eine umfassende Fürsorge und Pflege benötigen, was bis zum 16. Altersjahr des jüngsten Kindes zutreffen dürfte, sowie für die mutmassliche Dauer einer allfälligen beruflichen Wiedereingliederung der Ehefrau. BGE 109 II 286 S. 290 Der Appellationshof hat im vorliegenden Fall alle diese Kriterien ausser acht gelassen. Er hat lediglich festgehalten, bezüglich der Dauer der Leistungspflicht des Klägers sei in Übereinstimmung mit der Vorinstanz und üblicher Praxis folgend etwa auf die halbe Ehedauer abzustellen. Ein Unterhaltsbeitrag für die Dauer von sechs Jahren sei daher angemessen. Er fügte noch bei, eine Dauerrente sei im übrigen schon deswegen nicht zuzusprechen, weil es der noch jungen Beklagten im Zeitpunkt, wo ihre Kinder dies altersmässig erlaubten, durchaus zumutbar sei, einer zusätzlichen Arbeit ausser Hauses nachzugehen. Soweit sich der Appellationshof auf die im Kanton Bern übliche Praxis, den Rentenanspruch auf die halbe Ehedauer zu beschränken, beruft, kann ihm nicht gefolgt werden. Eine solche Lösung ist zu schematisch und widerspricht dem den Art. 151/52 ZGB zugrundeliegenden Grundsatz, die Rentenansprüche nach Recht und Billigkeit, d.h. unter Beachtung aller massgebenden Gesichtspunkte und konkreten Umstände, zu bemessen. Sie ist daher mit dem Bundesrecht nicht vereinbar. Im vorliegenden Fall ist davon auszugehen, dass die Beklagte sehr jung, im 18. Altersjahr, geheiratet hat und heute erst 32 Jahre alt ist. Ihre Kinder sind 14-, 13- und 6jährig. Die Beklagte hat keinen Beruf erlernt, was allerdings auf die Einstellung ihrer Eltern und nicht auf ihre frühe Eheschliessung zurückzuführen ist. Sie hat aber stets auf dem elterlichen Bauernhof gearbeitet und könnte daher im Zeitpunkt, in welchem ihr jüngstes Kind ins Lehrlingsalter treten wird, d.h. in zehn Jahren, diese Arbeit entweder noch ausdehnen oder eine Stelle annehmen, an der sie ähnliche Arbeit verrichten kann. Für sie hat sich in dieser Hinsicht durch die Eheschliessung nicht viel geändert. Die Voraussetzungen für die Zusprechung einer Dauerrente sind daher nicht gegeben. Allerdings wäre die Beklagte angesichts der guten wirtschaftlichen Verhältnisse des Klägers bei Fortsetzung der Ehe wohl kaum je gezwungen gewesen, durch Erwerbsarbeit für den eigenen Unterhalt zu sorgen. Das hindert aber nicht, ihr dies zuzumuten, wenn ihr jüngstes Kind 16 Jahre alt sein wird. Bis dahin hätte sie auch Zeit, sich allenfalls um eine geeignete Ausbildung zu bemühen. Dem Begehren der Beklagten ist daher in dem Sinne teilweise zu entsprechen, als die ihr gemäss Art. 151 Abs. 1 ZGB zustehende Rente während zehn Jahren, d.h. bis zum 30. November 1993 (am 22. November 1977 wurde ihr jüngstes Kind geboren), auszurichten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